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4199" w14:textId="430A25A9" w:rsidR="00EB41E0" w:rsidRDefault="00502B7E">
      <w:r>
        <w:t xml:space="preserve">Between a 30-year career in the Marines, a 23-year career as a coach for the NFL, and now serving as the President and CEO of the Fellowship of Christian Athletes, Les Steckel has led nothing short of an interesting and full life. Les is an expert in all things leadership and </w:t>
      </w:r>
      <w:r w:rsidR="00303A2F">
        <w:t xml:space="preserve">was willing to share some of his hard-earned insight with us today. </w:t>
      </w:r>
    </w:p>
    <w:sectPr w:rsidR="00EB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7E"/>
    <w:rsid w:val="00303A2F"/>
    <w:rsid w:val="00502B7E"/>
    <w:rsid w:val="00AC0CFB"/>
    <w:rsid w:val="00EB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7210"/>
  <w15:chartTrackingRefBased/>
  <w15:docId w15:val="{4767101A-D0C1-4462-A5DF-888D56EA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Guerra</dc:creator>
  <cp:keywords/>
  <dc:description/>
  <cp:lastModifiedBy>Sophia Guerra</cp:lastModifiedBy>
  <cp:revision>1</cp:revision>
  <dcterms:created xsi:type="dcterms:W3CDTF">2023-01-26T19:23:00Z</dcterms:created>
  <dcterms:modified xsi:type="dcterms:W3CDTF">2023-01-26T19:46:00Z</dcterms:modified>
</cp:coreProperties>
</file>